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蚌埠城启环境服务有限公司洗扫车用大、小方刷采购项目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bookmarkStart w:id="0" w:name="_Toc31495"/>
      <w:bookmarkStart w:id="1" w:name="_Toc55144654"/>
      <w:bookmarkStart w:id="2" w:name="_Toc16071"/>
      <w:bookmarkStart w:id="3" w:name="_Toc55142282"/>
      <w:bookmarkStart w:id="4" w:name="_Toc55141528"/>
      <w:bookmarkStart w:id="5" w:name="_Toc23011"/>
      <w:bookmarkStart w:id="6" w:name="_Toc55148226"/>
      <w:bookmarkStart w:id="7" w:name="_Toc55145032"/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1.采购项目简介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1.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采购项目名称：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eastAsia="zh-CN"/>
        </w:rPr>
        <w:t>蚌埠城启环境服务有限公司202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eastAsia="zh-CN"/>
        </w:rPr>
        <w:t>年洗扫车用大、小方刷采购项目</w:t>
      </w:r>
    </w:p>
    <w:p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1.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采购人：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蚌埠城启环境服务有限公司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eastAsia="仿宋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1.</w:t>
      </w:r>
      <w:r>
        <w:rPr>
          <w:rFonts w:hint="eastAsia" w:ascii="Times New Roman" w:eastAsia="仿宋" w:cs="Times New Roman"/>
          <w:color w:val="auto"/>
          <w:sz w:val="28"/>
          <w:szCs w:val="28"/>
          <w:u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资金来源：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企业自筹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  <w:t>1.</w:t>
      </w:r>
      <w:r>
        <w:rPr>
          <w:rFonts w:hint="eastAsia" w:asci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  <w:t>4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u w:val="none"/>
          <w:lang w:val="en-US" w:eastAsia="zh-CN" w:bidi="ar-SA"/>
        </w:rPr>
        <w:t>采购项目概况：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蚌埠城启环境服务有限公司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>拟采购202</w:t>
      </w:r>
      <w:r>
        <w:rPr>
          <w:rFonts w:hint="eastAsia" w:ascii="Times New Roman" w:eastAsia="仿宋" w:cs="Times New Roman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>年</w:t>
      </w:r>
      <w:r>
        <w:rPr>
          <w:rFonts w:hint="eastAsia" w:ascii="Times New Roman" w:eastAsia="仿宋" w:cs="Times New Roman"/>
          <w:color w:val="auto"/>
          <w:sz w:val="28"/>
          <w:szCs w:val="28"/>
          <w:u w:val="single"/>
          <w:lang w:val="en-US" w:eastAsia="zh-CN"/>
        </w:rPr>
        <w:t>清扫工具一批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>，</w:t>
      </w:r>
      <w:r>
        <w:rPr>
          <w:rFonts w:hint="eastAsia" w:ascii="Times New Roman" w:eastAsia="仿宋" w:cs="Times New Roman"/>
          <w:color w:val="auto"/>
          <w:sz w:val="28"/>
          <w:szCs w:val="28"/>
          <w:u w:val="single"/>
          <w:lang w:val="en-US" w:eastAsia="zh-CN"/>
        </w:rPr>
        <w:t>其中包括大方刷21000把、小方刷127900把。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</w:pPr>
      <w:bookmarkStart w:id="8" w:name="_Toc10375"/>
      <w:bookmarkStart w:id="9" w:name="_Toc55144655"/>
      <w:bookmarkStart w:id="10" w:name="_Toc31703"/>
      <w:bookmarkStart w:id="11" w:name="_Toc55148227"/>
      <w:bookmarkStart w:id="12" w:name="_Toc22299"/>
      <w:bookmarkStart w:id="13" w:name="_Toc55145033"/>
      <w:bookmarkStart w:id="14" w:name="_Toc570"/>
      <w:bookmarkStart w:id="15" w:name="_Toc55141529"/>
      <w:bookmarkStart w:id="16" w:name="_Toc55142283"/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  <w:t>2.采购范围及相关要求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2.1采购范围：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包括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>产品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的</w:t>
      </w:r>
      <w:r>
        <w:rPr>
          <w:rFonts w:hint="eastAsia" w:ascii="Times New Roman" w:hAnsi="Times New Roman" w:eastAsia="仿宋" w:cs="Times New Roman"/>
          <w:color w:val="FF0000"/>
          <w:sz w:val="28"/>
          <w:szCs w:val="28"/>
          <w:u w:val="single"/>
          <w:lang w:eastAsia="zh-CN"/>
        </w:rPr>
        <w:t>单价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设计、供货（含包装、运输及保险）、检测验收、售后服务</w:t>
      </w:r>
      <w:r>
        <w:rPr>
          <w:rFonts w:hint="eastAsia" w:ascii="Times New Roman" w:hAnsi="Times New Roman" w:eastAsia="仿宋" w:cs="Times New Roman"/>
          <w:color w:val="FF0000"/>
          <w:sz w:val="28"/>
          <w:szCs w:val="28"/>
          <w:highlight w:val="none"/>
          <w:u w:val="single"/>
          <w:lang w:eastAsia="zh-CN"/>
        </w:rPr>
        <w:t>（包括但不限于因质量问题无条件退、换货物的承诺书）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等。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2.2交 货 期：</w:t>
      </w:r>
      <w:r>
        <w:rPr>
          <w:rFonts w:hint="eastAsia" w:ascii="Times New Roman" w:hAnsi="Times New Roman" w:eastAsia="仿宋" w:cs="Times New Roman"/>
          <w:color w:val="FF0000"/>
          <w:sz w:val="28"/>
          <w:szCs w:val="28"/>
          <w:u w:val="none"/>
          <w:lang w:eastAsia="zh-CN"/>
        </w:rPr>
        <w:t>双方协商。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eastAsia="zh-CN"/>
        </w:rPr>
      </w:pPr>
      <w:bookmarkStart w:id="17" w:name="_Toc20962"/>
      <w:bookmarkStart w:id="18" w:name="_Toc55142286"/>
      <w:bookmarkStart w:id="19" w:name="_Toc31172"/>
      <w:bookmarkStart w:id="20" w:name="_Toc30797"/>
      <w:bookmarkStart w:id="21" w:name="_Toc55144658"/>
      <w:bookmarkStart w:id="22" w:name="_Toc55145036"/>
      <w:bookmarkStart w:id="23" w:name="_Toc55148230"/>
      <w:bookmarkStart w:id="24" w:name="_Toc55141532"/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  <w:t>2.3交货地点：蚌埠城启环境服务有限公司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内或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</w:rPr>
        <w:t>采购人指定地点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none"/>
          <w:lang w:eastAsia="zh-CN"/>
        </w:rPr>
        <w:t>。</w:t>
      </w:r>
    </w:p>
    <w:p>
      <w:pPr>
        <w:pStyle w:val="2"/>
        <w:spacing w:line="360" w:lineRule="auto"/>
        <w:ind w:firstLine="560" w:firstLineChars="200"/>
        <w:rPr>
          <w:rFonts w:hint="eastAsia" w:eastAsia="仿宋"/>
          <w:lang w:val="en-US" w:eastAsia="zh-CN"/>
        </w:rPr>
      </w:pPr>
      <w:r>
        <w:rPr>
          <w:rFonts w:hint="eastAsia" w:ascii="Times New Roman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  <w:t>2.4 供应商开票类型：增值税专用发票。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2.5付款周期：</w:t>
      </w:r>
      <w:r>
        <w:rPr>
          <w:rFonts w:hint="eastAsia" w:ascii="Times New Roman" w:hAnsi="Times New Roman" w:eastAsia="仿宋" w:cs="Times New Roman"/>
          <w:color w:val="FF0000"/>
          <w:sz w:val="28"/>
          <w:szCs w:val="28"/>
          <w:highlight w:val="none"/>
          <w:lang w:val="en-US" w:eastAsia="zh-CN"/>
        </w:rPr>
        <w:t>每季度结算一次。</w:t>
      </w:r>
    </w:p>
    <w:p>
      <w:pPr>
        <w:pStyle w:val="2"/>
        <w:ind w:firstLine="560"/>
        <w:rPr>
          <w:rFonts w:hint="eastAsia" w:ascii="Times New Roman" w:eastAsia="仿宋" w:cs="Times New Roman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2.6 其他要求：</w:t>
      </w:r>
      <w:r>
        <w:rPr>
          <w:rFonts w:hint="eastAsia" w:ascii="Times New Roman" w:eastAsia="仿宋" w:cs="Times New Roman"/>
          <w:color w:val="FF0000"/>
          <w:sz w:val="28"/>
          <w:szCs w:val="28"/>
          <w:highlight w:val="none"/>
          <w:lang w:val="en-US" w:eastAsia="zh-CN"/>
        </w:rPr>
        <w:t>每种产品至少提供一件样品。</w:t>
      </w:r>
    </w:p>
    <w:p>
      <w:pPr>
        <w:ind w:firstLine="560"/>
        <w:rPr>
          <w:rFonts w:hint="eastAsia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  <w:t>3.供应商资格要求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3.1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>具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>有有效的营业执照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；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3.2供应商不得存在下列情形之一：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（1）供应商被人民法院列入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失信被执行人的；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（2）供应商被市场监督管理部门列入严重违法失信企业名单的；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（3）供应商被税务部门列入重大税收违法案件当事人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名单的；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（4）近三年供应商或其法定代表人或拟派项目负责人有行贿犯罪行为的。</w:t>
      </w:r>
    </w:p>
    <w:p>
      <w:pPr>
        <w:pStyle w:val="2"/>
        <w:spacing w:line="360" w:lineRule="auto"/>
        <w:ind w:firstLine="560"/>
        <w:rPr>
          <w:rFonts w:hint="eastAsia" w:ascii="Times New Roman" w:eastAsia="仿宋" w:cs="Times New Roman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eastAsia="仿宋" w:cs="Times New Roman"/>
          <w:color w:val="FF0000"/>
          <w:sz w:val="28"/>
          <w:szCs w:val="28"/>
          <w:highlight w:val="none"/>
          <w:lang w:val="en-US" w:eastAsia="zh-CN"/>
        </w:rPr>
        <w:t>（5）目前有重大诉讼案件未结清的。</w:t>
      </w: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FF0000"/>
          <w:sz w:val="28"/>
          <w:szCs w:val="28"/>
          <w:highlight w:val="none"/>
          <w:lang w:val="en-US" w:eastAsia="zh-CN"/>
        </w:rPr>
        <w:t>（6）不能按税务要求提供正规发票的。</w:t>
      </w:r>
    </w:p>
    <w:p>
      <w:pPr>
        <w:pStyle w:val="2"/>
        <w:rPr>
          <w:rFonts w:hint="default"/>
        </w:rPr>
      </w:pPr>
    </w:p>
    <w:p>
      <w:pPr>
        <w:pageBreakBefore w:val="0"/>
        <w:widowControl w:val="0"/>
        <w:tabs>
          <w:tab w:val="left" w:pos="8222"/>
        </w:tabs>
        <w:kinsoku/>
        <w:overflowPunct/>
        <w:topLinePunct w:val="0"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3.3本次采购</w:t>
      </w:r>
      <w:r>
        <w:rPr>
          <w:rFonts w:hint="default" w:ascii="Times New Roman" w:hAnsi="Times New Roman" w:eastAsia="仿宋" w:cs="Times New Roman"/>
          <w:b/>
          <w:i w:val="0"/>
          <w:iCs/>
          <w:color w:val="auto"/>
          <w:sz w:val="28"/>
          <w:szCs w:val="28"/>
          <w:u w:val="single"/>
        </w:rPr>
        <w:t>不接受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联合体。</w:t>
      </w:r>
    </w:p>
    <w:p>
      <w:pPr>
        <w:rPr>
          <w:rFonts w:hint="default" w:eastAsia="仿宋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4.评审标准</w:t>
      </w:r>
    </w:p>
    <w:tbl>
      <w:tblPr>
        <w:tblStyle w:val="6"/>
        <w:tblpPr w:leftFromText="180" w:rightFromText="180" w:vertAnchor="text" w:tblpY="1"/>
        <w:tblOverlap w:val="never"/>
        <w:tblW w:w="977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042"/>
        <w:gridCol w:w="1130"/>
        <w:gridCol w:w="66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78" w:type="dxa"/>
            <w:gridSpan w:val="4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详细评审标准和程序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  <w:gridSpan w:val="2"/>
            <w:noWrap w:val="0"/>
            <w:vAlign w:val="center"/>
          </w:tcPr>
          <w:p>
            <w:pPr>
              <w:tabs>
                <w:tab w:val="left" w:pos="1900"/>
                <w:tab w:val="left" w:pos="8222"/>
              </w:tabs>
              <w:ind w:right="-85" w:right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8222"/>
              </w:tabs>
              <w:ind w:right="-144" w:righ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分值构成（总分100分）</w:t>
            </w:r>
          </w:p>
        </w:tc>
        <w:tc>
          <w:tcPr>
            <w:tcW w:w="6617" w:type="dxa"/>
            <w:noWrap w:val="0"/>
            <w:vAlign w:val="center"/>
          </w:tcPr>
          <w:p>
            <w:pPr>
              <w:tabs>
                <w:tab w:val="left" w:pos="8222"/>
              </w:tabs>
              <w:spacing w:line="240" w:lineRule="auto"/>
              <w:ind w:right="278"/>
              <w:rPr>
                <w:rFonts w:hint="default"/>
              </w:rPr>
            </w:pPr>
            <w:r>
              <w:rPr>
                <w:rFonts w:hint="default"/>
              </w:rPr>
              <w:t>（1）商务部分：</w:t>
            </w:r>
            <w:r>
              <w:rPr>
                <w:rFonts w:hint="default"/>
                <w:lang w:val="en-US" w:eastAsia="zh-CN"/>
              </w:rPr>
              <w:t>15</w:t>
            </w:r>
            <w:r>
              <w:rPr>
                <w:rFonts w:hint="default"/>
              </w:rPr>
              <w:t>分</w:t>
            </w:r>
          </w:p>
          <w:p>
            <w:pPr>
              <w:tabs>
                <w:tab w:val="left" w:pos="8222"/>
              </w:tabs>
              <w:spacing w:line="240" w:lineRule="auto"/>
              <w:ind w:right="278"/>
              <w:rPr>
                <w:rFonts w:hint="default"/>
              </w:rPr>
            </w:pPr>
            <w:r>
              <w:rPr>
                <w:rFonts w:hint="default"/>
              </w:rPr>
              <w:t>（2）技术部分：</w:t>
            </w: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default"/>
              </w:rPr>
              <w:t>分</w:t>
            </w:r>
          </w:p>
          <w:p>
            <w:pPr>
              <w:tabs>
                <w:tab w:val="left" w:pos="8222"/>
              </w:tabs>
              <w:spacing w:line="240" w:lineRule="auto"/>
              <w:ind w:right="278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</w:rPr>
              <w:t>（3）报价：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default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  <w:gridSpan w:val="2"/>
            <w:noWrap w:val="0"/>
            <w:vAlign w:val="center"/>
          </w:tcPr>
          <w:p>
            <w:pPr>
              <w:tabs>
                <w:tab w:val="left" w:pos="8222"/>
              </w:tabs>
              <w:ind w:right="-85" w:rightChars="0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2320"/>
                <w:tab w:val="left" w:pos="8222"/>
              </w:tabs>
              <w:ind w:right="-144" w:righ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评审基准价计算方法</w:t>
            </w:r>
          </w:p>
        </w:tc>
        <w:tc>
          <w:tcPr>
            <w:tcW w:w="6617" w:type="dxa"/>
            <w:noWrap w:val="0"/>
            <w:vAlign w:val="center"/>
          </w:tcPr>
          <w:p>
            <w:pPr>
              <w:pStyle w:val="4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singl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取所有技术入围投标人中投标价格最低的投标报价为评标基准价</w:t>
            </w:r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（评标基准价计算结果保留二位小数，小数点后第三位四舍五入）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  <w:gridSpan w:val="2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条款号及名称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8222"/>
              </w:tabs>
              <w:ind w:right="-129" w:righ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评分因素</w:t>
            </w:r>
          </w:p>
        </w:tc>
        <w:tc>
          <w:tcPr>
            <w:tcW w:w="6617" w:type="dxa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评分标准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tabs>
                <w:tab w:val="left" w:pos="8222"/>
              </w:tabs>
              <w:ind w:right="-68" w:righ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tabs>
                <w:tab w:val="left" w:pos="8222"/>
              </w:tabs>
              <w:ind w:right="-68" w:righ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3（1）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tabs>
                <w:tab w:val="left" w:pos="8222"/>
              </w:tabs>
              <w:ind w:right="-33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商务评分标准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15分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8222"/>
              </w:tabs>
              <w:ind w:right="-48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业绩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617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自20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年1月1日以来（以合同签订时间为准）具有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类似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的业绩，每提供一个得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分，最高得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分。</w:t>
            </w:r>
          </w:p>
          <w:p>
            <w:pPr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注：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响应文件中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须提供合同关键页（含项目名称、项目内容、甲乙双方签字盖章页）</w:t>
            </w:r>
            <w:r>
              <w:rPr>
                <w:rFonts w:hint="default" w:ascii="Times New Roman" w:hAnsi="Times New Roman" w:eastAsia="新宋体" w:cs="Times New Roman"/>
                <w:b/>
                <w:sz w:val="21"/>
                <w:szCs w:val="21"/>
                <w:highlight w:val="none"/>
              </w:rPr>
              <w:t>及验收报告</w:t>
            </w:r>
            <w:r>
              <w:rPr>
                <w:rFonts w:hint="default" w:ascii="Times New Roman" w:hAnsi="Times New Roman" w:eastAsia="新宋体" w:cs="Times New Roman"/>
                <w:sz w:val="21"/>
                <w:szCs w:val="21"/>
                <w:highlight w:val="none"/>
              </w:rPr>
              <w:t>扫描件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Merge w:val="restart"/>
            <w:noWrap w:val="0"/>
            <w:vAlign w:val="center"/>
          </w:tcPr>
          <w:p>
            <w:pPr>
              <w:tabs>
                <w:tab w:val="left" w:pos="640"/>
                <w:tab w:val="left" w:pos="8222"/>
              </w:tabs>
              <w:ind w:right="-68" w:rightChars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3（2）</w:t>
            </w:r>
          </w:p>
        </w:tc>
        <w:tc>
          <w:tcPr>
            <w:tcW w:w="1042" w:type="dxa"/>
            <w:vMerge w:val="restart"/>
            <w:noWrap w:val="0"/>
            <w:vAlign w:val="center"/>
          </w:tcPr>
          <w:p>
            <w:pPr>
              <w:tabs>
                <w:tab w:val="left" w:pos="630"/>
                <w:tab w:val="left" w:pos="8222"/>
              </w:tabs>
              <w:ind w:right="-33" w:right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技术评分标准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35分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cyan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工艺质量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分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617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highlight w:val="cyan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根据供应商所提供的样品的外观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、材质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规格、味道、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颜色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制作工艺和质量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进行综合评审：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好的得15分，较好的得10分，一般的得5分，样品与技术参数不符或未提供的不得分。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Merge w:val="continue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42" w:type="dxa"/>
            <w:vMerge w:val="continue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发票类型</w:t>
            </w:r>
            <w:r>
              <w:rPr>
                <w:rFonts w:hint="default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default"/>
                <w:lang w:eastAsia="zh-CN"/>
              </w:rPr>
              <w:t>分）</w:t>
            </w:r>
          </w:p>
        </w:tc>
        <w:tc>
          <w:tcPr>
            <w:tcW w:w="6617" w:type="dxa"/>
            <w:noWrap w:val="0"/>
            <w:vAlign w:val="top"/>
          </w:tcPr>
          <w:p>
            <w:pPr>
              <w:jc w:val="left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能开具并提供正规的增值税专用发票的，得</w:t>
            </w:r>
            <w:r>
              <w:rPr>
                <w:rFonts w:hint="eastAsia"/>
                <w:color w:val="FF0000"/>
                <w:lang w:val="en-US" w:eastAsia="zh-CN"/>
              </w:rPr>
              <w:t>10分；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只能提供正规的普通发票的，得5分。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vMerge w:val="continue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42" w:type="dxa"/>
            <w:vMerge w:val="continue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结算周期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617" w:type="dxa"/>
            <w:noWrap w:val="0"/>
            <w:vAlign w:val="top"/>
          </w:tcPr>
          <w:p>
            <w:pPr>
              <w:pStyle w:val="4"/>
              <w:numPr>
                <w:ilvl w:val="0"/>
                <w:numId w:val="1"/>
              </w:numP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付款周期≥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3个月，得10分。</w:t>
            </w:r>
          </w:p>
          <w:p>
            <w:pPr>
              <w:pStyle w:val="4"/>
              <w:numPr>
                <w:ilvl w:val="0"/>
                <w:numId w:val="1"/>
              </w:numP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2个月≤付款周期＜3个月，得8分。</w:t>
            </w:r>
          </w:p>
          <w:p>
            <w:pPr>
              <w:pStyle w:val="4"/>
              <w:numPr>
                <w:ilvl w:val="0"/>
                <w:numId w:val="1"/>
              </w:numP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1个月≤付款周期＜2个月，得6分。</w:t>
            </w:r>
          </w:p>
          <w:p>
            <w:pPr>
              <w:pStyle w:val="4"/>
              <w:numPr>
                <w:ilvl w:val="0"/>
                <w:numId w:val="1"/>
              </w:numP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现结或预付款＜付款周期＜1个月，得4分。</w:t>
            </w:r>
          </w:p>
          <w:p>
            <w:pPr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货款现结或预付款，0分。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" w:type="dxa"/>
            <w:noWrap w:val="0"/>
            <w:vAlign w:val="center"/>
          </w:tcPr>
          <w:p>
            <w:pPr>
              <w:tabs>
                <w:tab w:val="left" w:pos="8222"/>
              </w:tabs>
              <w:ind w:right="-67" w:right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tabs>
                <w:tab w:val="left" w:pos="8222"/>
              </w:tabs>
              <w:ind w:right="-14" w:rightChars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报价评分标准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50分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747" w:type="dxa"/>
            <w:gridSpan w:val="2"/>
            <w:noWrap w:val="0"/>
            <w:vAlign w:val="center"/>
          </w:tcPr>
          <w:p>
            <w:pPr>
              <w:pStyle w:val="4"/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价格分采用低价优先法计算，取所有技术入围投标人中投标价格最低的投标报价为评标基准价，其他投标人的价格分按照下列公式计算：</w:t>
            </w:r>
          </w:p>
          <w:p>
            <w:pPr>
              <w:pStyle w:val="4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价格分=（评标基准价/投标报价）×50</w:t>
            </w:r>
            <w:bookmarkStart w:id="25" w:name="_GoBack"/>
            <w:bookmarkEnd w:id="25"/>
            <w:r>
              <w:rPr>
                <w:rFonts w:hint="default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（评标基准价计算结果保留二位小数，小数点后第三位四舍五入）</w:t>
            </w:r>
            <w:r>
              <w:rPr>
                <w:rFonts w:hint="eastAsia" w:ascii="Times New Roman" w:hAnsi="Times New Roman" w:cs="Times New Roman"/>
                <w:color w:val="FF000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  <w:gridSpan w:val="2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8222"/>
              </w:tabs>
              <w:ind w:right="-56" w:righ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条款内容</w:t>
            </w:r>
          </w:p>
        </w:tc>
        <w:tc>
          <w:tcPr>
            <w:tcW w:w="6617" w:type="dxa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编列内容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  <w:gridSpan w:val="2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tabs>
                <w:tab w:val="left" w:pos="8222"/>
              </w:tabs>
              <w:ind w:right="-56" w:rightChars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供应商并列时确定供应商优先顺序的规则</w:t>
            </w:r>
          </w:p>
        </w:tc>
        <w:tc>
          <w:tcPr>
            <w:tcW w:w="6617" w:type="dxa"/>
            <w:noWrap w:val="0"/>
            <w:vAlign w:val="center"/>
          </w:tcPr>
          <w:p>
            <w:pPr>
              <w:tabs>
                <w:tab w:val="left" w:pos="8222"/>
              </w:tabs>
              <w:ind w:right="278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由评审小组投票决定</w:t>
            </w: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rPr>
          <w:rFonts w:hint="eastAsia" w:ascii="仿宋" w:hAnsi="仿宋" w:eastAsia="仿宋" w:cs="仿宋"/>
          <w:sz w:val="34"/>
          <w:szCs w:val="34"/>
          <w:lang w:eastAsia="zh-CN"/>
        </w:rPr>
      </w:pPr>
    </w:p>
    <w:p>
      <w:pPr>
        <w:rPr>
          <w:rFonts w:hint="eastAsia" w:ascii="仿宋" w:hAnsi="仿宋" w:eastAsia="仿宋" w:cs="仿宋"/>
          <w:sz w:val="34"/>
          <w:szCs w:val="34"/>
          <w:lang w:eastAsia="zh-CN"/>
        </w:rPr>
      </w:pPr>
    </w:p>
    <w:p>
      <w:pPr>
        <w:rPr>
          <w:rFonts w:hint="eastAsia" w:ascii="仿宋" w:hAnsi="仿宋" w:eastAsia="仿宋" w:cs="仿宋"/>
          <w:sz w:val="34"/>
          <w:szCs w:val="34"/>
          <w:lang w:eastAsia="zh-CN"/>
        </w:rPr>
      </w:pPr>
      <w:r>
        <w:rPr>
          <w:rFonts w:hint="eastAsia" w:ascii="仿宋" w:hAnsi="仿宋" w:eastAsia="仿宋" w:cs="仿宋"/>
          <w:sz w:val="34"/>
          <w:szCs w:val="34"/>
          <w:lang w:eastAsia="zh-CN"/>
        </w:rPr>
        <w:t>扫刷规格技术参数信息：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084"/>
        <w:gridCol w:w="1178"/>
        <w:gridCol w:w="125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>
            <w:pPr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084" w:type="dxa"/>
          </w:tcPr>
          <w:p>
            <w:pP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型号</w:t>
            </w:r>
          </w:p>
        </w:tc>
        <w:tc>
          <w:tcPr>
            <w:tcW w:w="1178" w:type="dxa"/>
          </w:tcPr>
          <w:p>
            <w:pP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材料配比</w:t>
            </w:r>
          </w:p>
        </w:tc>
        <w:tc>
          <w:tcPr>
            <w:tcW w:w="1250" w:type="dxa"/>
          </w:tcPr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技术参数</w:t>
            </w:r>
          </w:p>
        </w:tc>
        <w:tc>
          <w:tcPr>
            <w:tcW w:w="4142" w:type="dxa"/>
          </w:tcPr>
          <w:p>
            <w:p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参考图片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>
            <w:pPr>
              <w:rPr>
                <w:rFonts w:hint="eastAsia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  <w:t>小方钢丝刷</w:t>
            </w:r>
          </w:p>
        </w:tc>
        <w:tc>
          <w:tcPr>
            <w:tcW w:w="1084" w:type="dxa"/>
          </w:tcPr>
          <w:p>
            <w:pP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370*75*25</w:t>
            </w:r>
          </w:p>
          <w:p>
            <w:pPr>
              <w:rPr>
                <w:rFonts w:hint="eastAsia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20根钢丝</w:t>
            </w:r>
          </w:p>
        </w:tc>
        <w:tc>
          <w:tcPr>
            <w:tcW w:w="1178" w:type="dxa"/>
          </w:tcPr>
          <w:p>
            <w:pPr>
              <w:rPr>
                <w:rFonts w:hint="eastAsia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以聚丙烯（PP）单丝为刷头（全新料，不添加再生料），聚氯乙烯（PE）为刷柄制成的用于扫路车、保洁车、扫雪车等特种车辆刷盘或主刷组合板用环卫用刷。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250" w:type="dxa"/>
          </w:tcPr>
          <w:p>
            <w:pPr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参数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</w:rPr>
              <w:t>刷柄长度：7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</w:rPr>
              <w:t>mm  刷柄上宽：25 mm刷柄下宽：20 mm  刷柄高度：45 mm长面刷长：3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  <w:lang w:val="en-US" w:eastAsia="zh-CN"/>
              </w:rPr>
              <w:t>75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</w:rPr>
              <w:t xml:space="preserve"> mm短面刷长： 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  <w:lang w:val="en-US" w:eastAsia="zh-CN"/>
              </w:rPr>
              <w:t>365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</w:rPr>
              <w:t>mm，刷丝数：≥1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</w:rPr>
              <w:t>根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</w:rPr>
              <w:t>钢丝混合扁刷添加1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</w:rPr>
              <w:t>根65号锰钢扁钢丝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  <w:lang w:val="en-US" w:eastAsia="zh-CN"/>
              </w:rPr>
              <w:t>每片重量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  <w:lang w:val="en-US" w:eastAsia="zh-CN"/>
              </w:rPr>
              <w:t>240克.钢丝长度为370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</w:rPr>
              <w:t>mm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聚丙烯单丝：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聚丙烯新材料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整洁、整齐、挺直、色差小、光滑柔软、无伤痕、气泡、裂纹；刷柄：光、清洁、无毛刺。</w:t>
            </w:r>
          </w:p>
        </w:tc>
        <w:tc>
          <w:tcPr>
            <w:tcW w:w="414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drawing>
                <wp:inline distT="0" distB="0" distL="114300" distR="114300">
                  <wp:extent cx="1800225" cy="438150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438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</w:tcPr>
          <w:p>
            <w:pPr>
              <w:rPr>
                <w:rFonts w:hint="eastAsia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  <w:t>大方钢丝刷</w:t>
            </w:r>
          </w:p>
        </w:tc>
        <w:tc>
          <w:tcPr>
            <w:tcW w:w="1084" w:type="dxa"/>
          </w:tcPr>
          <w:p>
            <w:pP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370*170*25</w:t>
            </w:r>
          </w:p>
          <w:p>
            <w:pPr>
              <w:rPr>
                <w:rFonts w:hint="eastAsia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18根钢丝</w:t>
            </w:r>
          </w:p>
        </w:tc>
        <w:tc>
          <w:tcPr>
            <w:tcW w:w="1178" w:type="dxa"/>
          </w:tcPr>
          <w:p>
            <w:pPr>
              <w:rPr>
                <w:rFonts w:hint="eastAsia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以聚丙烯（PP）单丝为刷头（全新料，不添加再生料），聚氯乙烯（PE）为刷柄制成的用于扫路车、保洁车、扫雪车等特种车辆刷盘或主刷组合板用环卫用刷。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250" w:type="dxa"/>
          </w:tcPr>
          <w:p>
            <w:pPr>
              <w:widowControl/>
              <w:snapToGrid w:val="0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  <w:lang w:eastAsia="zh-CN"/>
              </w:rPr>
              <w:t>参数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</w:rPr>
              <w:t>刷柄长度：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  <w:lang w:val="en-US" w:eastAsia="zh-CN"/>
              </w:rPr>
              <w:t>170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</w:rPr>
              <w:t>mm  刷柄上宽：25 mm</w:t>
            </w:r>
          </w:p>
          <w:p>
            <w:pPr>
              <w:widowControl/>
              <w:snapToGrid w:val="0"/>
              <w:spacing w:line="420" w:lineRule="exact"/>
              <w:jc w:val="left"/>
              <w:rPr>
                <w:rFonts w:hint="default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</w:rPr>
              <w:t>刷柄下宽：20 mm  刷柄高度：45 mm长面刷长：3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  <w:lang w:val="en-US" w:eastAsia="zh-CN"/>
              </w:rPr>
              <w:t>75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</w:rPr>
              <w:t>mm短面刷长：300 mm，刷丝数：≥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  <w:lang w:val="en-US" w:eastAsia="zh-CN"/>
              </w:rPr>
              <w:t>270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</w:rPr>
              <w:t>根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每片重量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  <w:lang w:val="en-US" w:eastAsia="zh-CN"/>
              </w:rPr>
              <w:t>450克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4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聚丙烯单丝：整洁、整齐、挺直、色差小、光滑柔软、无伤痕、气泡、裂纹；刷柄：光滑、清洁、无毛刺。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</w:rPr>
              <w:t>钢丝混合扁刷添加1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</w:rPr>
              <w:t>根65号锰钢扁钢丝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  <w:lang w:val="en-US" w:eastAsia="zh-CN"/>
              </w:rPr>
              <w:t>每片重量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  <w:lang w:val="en-US" w:eastAsia="zh-CN"/>
              </w:rPr>
              <w:t>240克.钢丝长度为360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</w:rPr>
              <w:t>mm</w:t>
            </w: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</w:p>
          <w:p>
            <w:pPr>
              <w:pStyle w:val="5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装配：装配端正，不允许有可见的杂质、裂纹。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洗扫车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方块刷是现在扫路车中主力扫刷品种，在各品牌清扫车中均有应用，方块刷刷丝材质为PP，刷柄材质为PE。</w:t>
            </w:r>
          </w:p>
          <w:p>
            <w:pPr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414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drawing>
                <wp:inline distT="0" distB="0" distL="114300" distR="114300">
                  <wp:extent cx="2628900" cy="4333875"/>
                  <wp:effectExtent l="0" t="0" r="0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433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815330"/>
    <w:multiLevelType w:val="singleLevel"/>
    <w:tmpl w:val="CD81533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MTBlZDRkYWM0ODcxMzc4NDg4ODhkYzk3OWQzM2UifQ=="/>
  </w:docVars>
  <w:rsids>
    <w:rsidRoot w:val="00000000"/>
    <w:rsid w:val="06ED4549"/>
    <w:rsid w:val="07114E4C"/>
    <w:rsid w:val="0B134CAE"/>
    <w:rsid w:val="0D0E452B"/>
    <w:rsid w:val="0F65526E"/>
    <w:rsid w:val="11661E38"/>
    <w:rsid w:val="15485429"/>
    <w:rsid w:val="1DFF7611"/>
    <w:rsid w:val="3CDF1AE9"/>
    <w:rsid w:val="435A0F5F"/>
    <w:rsid w:val="439A3688"/>
    <w:rsid w:val="45952FB5"/>
    <w:rsid w:val="4B84057A"/>
    <w:rsid w:val="4DE77164"/>
    <w:rsid w:val="512F4DE7"/>
    <w:rsid w:val="5540638A"/>
    <w:rsid w:val="559223BE"/>
    <w:rsid w:val="58144A54"/>
    <w:rsid w:val="5F7F5704"/>
    <w:rsid w:val="61823C70"/>
    <w:rsid w:val="666A6039"/>
    <w:rsid w:val="6B905CE1"/>
    <w:rsid w:val="73575217"/>
    <w:rsid w:val="7665430A"/>
    <w:rsid w:val="767E46F8"/>
    <w:rsid w:val="7750165D"/>
    <w:rsid w:val="7DBE0862"/>
    <w:rsid w:val="7E29350C"/>
    <w:rsid w:val="7E7B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ind w:firstLine="200" w:firstLineChars="200"/>
      <w:jc w:val="left"/>
      <w:outlineLvl w:val="1"/>
    </w:pPr>
    <w:rPr>
      <w:rFonts w:ascii="宋体" w:hAnsi="宋体" w:cs="Times New Roman"/>
      <w:b/>
      <w:bCs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Arial" w:hAnsi="Times New Roman"/>
      <w:color w:val="000000"/>
      <w:sz w:val="28"/>
      <w:szCs w:val="28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</w:pPr>
    <w:rPr>
      <w:rFonts w:hAnsi="宋体" w:cs="宋体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1715</Words>
  <Characters>1869</Characters>
  <Lines>0</Lines>
  <Paragraphs>0</Paragraphs>
  <TotalTime>1</TotalTime>
  <ScaleCrop>false</ScaleCrop>
  <LinksUpToDate>false</LinksUpToDate>
  <CharactersWithSpaces>1895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2023-02-20T01:53:00Z</dcterms:created>
  <dc:creator>Administrator</dc:creator>
  <cp:lastModifiedBy>An answer</cp:lastModifiedBy>
  <dcterms:modified xsi:type="dcterms:W3CDTF">2023-03-09T03:46:25Z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B83C60A594A74BB0B8CFE541579D3939</vt:lpwstr>
  </property>
</Properties>
</file>